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  <w:jc w:val="center"/>
        <w:rPr>
          <w:rFonts w:hint="eastAsia" w:eastAsiaTheme="minorEastAsia"/>
          <w:b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  <w:shd w:val="clear" w:fill="FFFFFF"/>
        </w:rPr>
        <w:t>2021年盱眙水库鱼（桂五水库、化农水库）成鱼捕捞服务</w:t>
      </w:r>
      <w:r>
        <w:rPr>
          <w:rFonts w:hint="eastAsia"/>
          <w:b/>
          <w:bCs/>
          <w:color w:val="333333"/>
          <w:sz w:val="28"/>
          <w:szCs w:val="28"/>
          <w:shd w:val="clear" w:fill="FFFFFF"/>
          <w:lang w:eastAsia="zh-CN"/>
        </w:rPr>
        <w:t>中标公示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  <w:rPr>
          <w:rFonts w:hint="eastAsia" w:eastAsiaTheme="minorEastAsia"/>
          <w:color w:val="333333"/>
          <w:sz w:val="22"/>
          <w:szCs w:val="22"/>
          <w:shd w:val="clear" w:fill="FFFFFF"/>
          <w:lang w:eastAsia="zh-CN"/>
        </w:rPr>
      </w:pPr>
      <w:r>
        <w:rPr>
          <w:rFonts w:hint="eastAsia"/>
          <w:color w:val="333333"/>
          <w:sz w:val="22"/>
          <w:szCs w:val="22"/>
          <w:shd w:val="clear" w:fill="FFFFFF"/>
        </w:rPr>
        <w:t>2021年盱眙水库鱼（桂五水库、化农水库）成鱼捕捞服务</w:t>
      </w:r>
      <w:r>
        <w:rPr>
          <w:color w:val="333333"/>
          <w:sz w:val="22"/>
          <w:szCs w:val="22"/>
          <w:shd w:val="clear" w:fill="FFFFFF"/>
        </w:rPr>
        <w:t>的评标工作已经结束，中标候选人已经确定。本项目采用经评审的最低投标价法的评标办法，现将中标候选人公示如下：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</w:pPr>
      <w:r>
        <w:rPr>
          <w:color w:val="333333"/>
          <w:sz w:val="22"/>
          <w:szCs w:val="22"/>
          <w:shd w:val="clear" w:fill="FFFFFF"/>
        </w:rPr>
        <w:t>　　中标候选人情况：</w:t>
      </w:r>
    </w:p>
    <w:tbl>
      <w:tblPr>
        <w:tblStyle w:val="6"/>
        <w:tblW w:w="7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258"/>
        <w:gridCol w:w="180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Ansi="宋体" w:cs="宋体"/>
                <w:sz w:val="28"/>
                <w:szCs w:val="24"/>
              </w:rPr>
            </w:pPr>
            <w:r>
              <w:rPr>
                <w:rFonts w:hAnsi="宋体" w:cs="宋体"/>
                <w:sz w:val="28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第一名</w:t>
            </w:r>
          </w:p>
        </w:tc>
        <w:tc>
          <w:tcPr>
            <w:tcW w:w="1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Ansi="宋体" w:cs="宋体"/>
                <w:sz w:val="28"/>
                <w:szCs w:val="24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第二名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Ansi="宋体" w:cs="宋体"/>
                <w:sz w:val="28"/>
                <w:szCs w:val="24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中标候选人名称</w:t>
            </w:r>
          </w:p>
        </w:tc>
        <w:tc>
          <w:tcPr>
            <w:tcW w:w="22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张旺良</w:t>
            </w:r>
          </w:p>
        </w:tc>
        <w:tc>
          <w:tcPr>
            <w:tcW w:w="1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史财贵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560" w:firstLineChars="200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樊晓伟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投标报价（元）</w:t>
            </w:r>
          </w:p>
        </w:tc>
        <w:tc>
          <w:tcPr>
            <w:tcW w:w="22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208600</w:t>
            </w:r>
          </w:p>
        </w:tc>
        <w:tc>
          <w:tcPr>
            <w:tcW w:w="1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Ansi="宋体" w:cs="宋体"/>
                <w:sz w:val="28"/>
                <w:szCs w:val="24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209300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210000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投标单价（元）</w:t>
            </w:r>
          </w:p>
        </w:tc>
        <w:tc>
          <w:tcPr>
            <w:tcW w:w="22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0.595</w:t>
            </w:r>
          </w:p>
        </w:tc>
        <w:tc>
          <w:tcPr>
            <w:tcW w:w="1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sz w:val="28"/>
                <w:szCs w:val="24"/>
                <w:lang w:val="en-US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0.598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0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cs="宋体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eastAsia="zh-CN"/>
              </w:rPr>
              <w:t>工期（日历天）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4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left"/>
        <w:rPr>
          <w:color w:val="333333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  <w:rPr>
          <w:rFonts w:hint="eastAsia" w:eastAsiaTheme="minorEastAsia"/>
          <w:color w:val="333333"/>
          <w:sz w:val="22"/>
          <w:szCs w:val="22"/>
          <w:shd w:val="clear" w:fill="FFFFFF"/>
          <w:lang w:eastAsia="zh-CN"/>
        </w:rPr>
      </w:pPr>
      <w:r>
        <w:rPr>
          <w:color w:val="333333"/>
          <w:sz w:val="22"/>
          <w:szCs w:val="22"/>
          <w:shd w:val="clear" w:fill="FFFFFF"/>
        </w:rPr>
        <w:t>　　拟确定中标人：</w:t>
      </w:r>
      <w:r>
        <w:rPr>
          <w:rFonts w:hint="eastAsia"/>
          <w:color w:val="333333"/>
          <w:sz w:val="22"/>
          <w:szCs w:val="22"/>
          <w:shd w:val="clear" w:fill="FFFFFF"/>
        </w:rPr>
        <w:t>张旺良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</w:pPr>
      <w:r>
        <w:rPr>
          <w:color w:val="333333"/>
          <w:sz w:val="22"/>
          <w:szCs w:val="22"/>
          <w:shd w:val="clear" w:fill="FFFFFF"/>
        </w:rPr>
        <w:t>　　本中标候选人公示期自：2021年11月</w:t>
      </w:r>
      <w:r>
        <w:rPr>
          <w:rFonts w:hint="eastAsia"/>
          <w:color w:val="333333"/>
          <w:sz w:val="22"/>
          <w:szCs w:val="22"/>
          <w:shd w:val="clear" w:fill="FFFFFF"/>
          <w:lang w:val="en-US" w:eastAsia="zh-CN"/>
        </w:rPr>
        <w:t>20</w:t>
      </w:r>
      <w:r>
        <w:rPr>
          <w:color w:val="333333"/>
          <w:sz w:val="22"/>
          <w:szCs w:val="22"/>
          <w:shd w:val="clear" w:fill="FFFFFF"/>
        </w:rPr>
        <w:t>日起至2021年11月</w:t>
      </w:r>
      <w:r>
        <w:rPr>
          <w:rFonts w:hint="eastAsia"/>
          <w:color w:val="333333"/>
          <w:sz w:val="22"/>
          <w:szCs w:val="22"/>
          <w:shd w:val="clear" w:fill="FFFFFF"/>
          <w:lang w:val="en-US" w:eastAsia="zh-CN"/>
        </w:rPr>
        <w:t>22</w:t>
      </w:r>
      <w:r>
        <w:rPr>
          <w:color w:val="333333"/>
          <w:sz w:val="22"/>
          <w:szCs w:val="22"/>
          <w:shd w:val="clear" w:fill="FFFFFF"/>
        </w:rPr>
        <w:t>日止。投标人或者其他利害关系人对上述评标结果有异议的，应当在公示期间向招标人提出。公示期满对评标结果没有异议的，招标人将签发中标通知书。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  <w:jc w:val="right"/>
        <w:rPr>
          <w:rFonts w:hint="eastAsia" w:eastAsiaTheme="minorEastAsia"/>
          <w:color w:val="333333"/>
          <w:sz w:val="22"/>
          <w:szCs w:val="22"/>
          <w:shd w:val="clear" w:fill="FFFFFF"/>
          <w:lang w:eastAsia="zh-CN"/>
        </w:rPr>
      </w:pPr>
      <w:r>
        <w:rPr>
          <w:color w:val="333333"/>
          <w:sz w:val="22"/>
          <w:szCs w:val="22"/>
          <w:shd w:val="clear" w:fill="FFFFFF"/>
        </w:rPr>
        <w:t>招标人：</w:t>
      </w:r>
      <w:r>
        <w:rPr>
          <w:rFonts w:hint="eastAsia"/>
          <w:color w:val="333333"/>
          <w:sz w:val="22"/>
          <w:szCs w:val="22"/>
          <w:shd w:val="clear" w:fill="FFFFFF"/>
        </w:rPr>
        <w:t>盱眙县天源河湖开发有限公司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360" w:beforeAutospacing="0" w:after="240" w:afterAutospacing="0" w:line="420" w:lineRule="atLeast"/>
        <w:ind w:left="0" w:right="0"/>
        <w:jc w:val="right"/>
      </w:pPr>
      <w:r>
        <w:rPr>
          <w:color w:val="333333"/>
          <w:sz w:val="22"/>
          <w:szCs w:val="22"/>
          <w:shd w:val="clear" w:fill="FFFFFF"/>
        </w:rPr>
        <w:t>　　2021年11月</w:t>
      </w:r>
      <w:r>
        <w:rPr>
          <w:rFonts w:hint="eastAsia"/>
          <w:color w:val="333333"/>
          <w:sz w:val="22"/>
          <w:szCs w:val="22"/>
          <w:shd w:val="clear" w:fill="FFFFFF"/>
          <w:lang w:val="en-US" w:eastAsia="zh-CN"/>
        </w:rPr>
        <w:t>20</w:t>
      </w:r>
      <w:r>
        <w:rPr>
          <w:color w:val="333333"/>
          <w:sz w:val="22"/>
          <w:szCs w:val="2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A6E29"/>
    <w:rsid w:val="7AE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2021-11-20T02:19:00Z</dcterms:created>
  <dc:creator>Administrator</dc:creator>
  <cp:lastModifiedBy>Administrator</cp:lastModifiedBy>
  <dcterms:modified xsi:type="dcterms:W3CDTF">2021-11-20T02:36:51Z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2B912E3BF28D493FAECBEF435E8E44F5</vt:lpwstr>
  </property>
</Properties>
</file>